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6EB73" w14:textId="77777777" w:rsidR="00B73540" w:rsidRDefault="00B73540" w:rsidP="00B73540">
      <w:r>
        <w:t xml:space="preserve">Dept: </w:t>
      </w:r>
      <w:r>
        <w:tab/>
      </w:r>
      <w:r>
        <w:tab/>
        <w:t>Business Office</w:t>
      </w:r>
    </w:p>
    <w:p w14:paraId="4E135AEA" w14:textId="77777777" w:rsidR="00B73540" w:rsidRDefault="00B73540" w:rsidP="00B73540"/>
    <w:p w14:paraId="5793AF6E" w14:textId="4B40B05D" w:rsidR="00B73540" w:rsidRDefault="00B73540" w:rsidP="00B73540">
      <w:r>
        <w:t>Title:</w:t>
      </w:r>
      <w:r>
        <w:tab/>
      </w:r>
      <w:r>
        <w:tab/>
        <w:t>Payment Plan Alternatives</w:t>
      </w:r>
      <w:r w:rsidR="00AE441A">
        <w:t xml:space="preserve"> and Collections</w:t>
      </w:r>
    </w:p>
    <w:p w14:paraId="57BDE26E" w14:textId="77777777" w:rsidR="00B73540" w:rsidRDefault="00B73540" w:rsidP="00B73540"/>
    <w:p w14:paraId="2AA47D24" w14:textId="0C34D532" w:rsidR="00B73540" w:rsidRDefault="00B73540" w:rsidP="00B73540">
      <w:pPr>
        <w:ind w:left="1440" w:hanging="1440"/>
      </w:pPr>
      <w:r>
        <w:t>Policy:</w:t>
      </w:r>
      <w:r>
        <w:tab/>
      </w:r>
      <w:r w:rsidR="00AE441A">
        <w:t>Patterson Health Center</w:t>
      </w:r>
      <w:r w:rsidR="008722D4">
        <w:t xml:space="preserve"> (PHC)</w:t>
      </w:r>
      <w:r w:rsidR="00AE441A">
        <w:t xml:space="preserve"> recognizes the importance of providing general guidelines for the management of accounts receivable. </w:t>
      </w:r>
      <w:r w:rsidR="0024038B">
        <w:t xml:space="preserve">Arrangements with patients/guarantors shall be made as early as possible, which may include prepayment for elective procedures. PHC affirms and maintains its commitment to serve every person regardless of age, race, color, religion, gender, national origin, disability, or whether they are uninsured or underinsured. </w:t>
      </w:r>
      <w:r>
        <w:t xml:space="preserve"> </w:t>
      </w:r>
    </w:p>
    <w:p w14:paraId="03618621" w14:textId="77777777" w:rsidR="00B73540" w:rsidRDefault="00B73540" w:rsidP="00B73540">
      <w:pPr>
        <w:ind w:left="1440" w:hanging="1440"/>
      </w:pPr>
    </w:p>
    <w:p w14:paraId="4F634E5E" w14:textId="3D0F6153" w:rsidR="00B73540" w:rsidRDefault="00B73540" w:rsidP="00B73540">
      <w:pPr>
        <w:ind w:left="1440" w:hanging="1440"/>
      </w:pPr>
      <w:r>
        <w:t>Purpose:</w:t>
      </w:r>
      <w:r>
        <w:tab/>
        <w:t xml:space="preserve">To ensure a consistent method of </w:t>
      </w:r>
      <w:r w:rsidR="004376ED">
        <w:t xml:space="preserve">collections and </w:t>
      </w:r>
      <w:r>
        <w:t>presenting payment alternatives to patients.</w:t>
      </w:r>
    </w:p>
    <w:p w14:paraId="12156F04" w14:textId="77777777" w:rsidR="004376ED" w:rsidRDefault="004376ED" w:rsidP="00B73540">
      <w:pPr>
        <w:ind w:left="1440" w:hanging="1440"/>
      </w:pPr>
    </w:p>
    <w:p w14:paraId="549192DA" w14:textId="70B04CD9" w:rsidR="00090707" w:rsidRPr="00090707" w:rsidRDefault="00090707" w:rsidP="00B73540">
      <w:pPr>
        <w:ind w:left="1440" w:hanging="1440"/>
        <w:rPr>
          <w:b/>
          <w:bCs/>
        </w:rPr>
      </w:pPr>
      <w:r w:rsidRPr="00090707">
        <w:rPr>
          <w:b/>
          <w:bCs/>
        </w:rPr>
        <w:t>I. Payment Plans</w:t>
      </w:r>
    </w:p>
    <w:p w14:paraId="53CA3A97" w14:textId="533287D3" w:rsidR="004376ED" w:rsidRDefault="0024038B" w:rsidP="00B73540">
      <w:pPr>
        <w:ind w:left="1440" w:hanging="1440"/>
      </w:pPr>
      <w:r>
        <w:t>The following guidelines will be used to determine the level of expected monthly payment</w:t>
      </w:r>
    </w:p>
    <w:p w14:paraId="5B1BB578" w14:textId="516E19E1" w:rsidR="00090707" w:rsidRDefault="0024038B" w:rsidP="00B73540">
      <w:pPr>
        <w:ind w:left="1440" w:hanging="1440"/>
      </w:pPr>
      <w:r>
        <w:t>amount</w:t>
      </w:r>
      <w:r w:rsidR="003C5FFD">
        <w:t>s</w:t>
      </w:r>
      <w:r>
        <w:t xml:space="preserve">. The use of electronic funds transfer/recurring credit card transactions as a method </w:t>
      </w:r>
      <w:r w:rsidR="00090707">
        <w:t>o</w:t>
      </w:r>
      <w:r w:rsidR="004376ED">
        <w:t>f</w:t>
      </w:r>
      <w:r w:rsidR="00090707">
        <w:t xml:space="preserve"> </w:t>
      </w:r>
    </w:p>
    <w:p w14:paraId="2FC256B3" w14:textId="458A062D" w:rsidR="00B73540" w:rsidRDefault="00090707" w:rsidP="00B73540">
      <w:pPr>
        <w:ind w:left="1440" w:hanging="1440"/>
      </w:pPr>
      <w:r>
        <w:t>m</w:t>
      </w:r>
      <w:r w:rsidR="0024038B">
        <w:t>aking monthly payments will be promoted.</w:t>
      </w:r>
    </w:p>
    <w:p w14:paraId="649001C3" w14:textId="77777777" w:rsidR="004376ED" w:rsidRDefault="004376ED" w:rsidP="00B73540">
      <w:pPr>
        <w:ind w:left="1440" w:hanging="1440"/>
      </w:pPr>
    </w:p>
    <w:p w14:paraId="4D84CFBE" w14:textId="77777777" w:rsidR="00B73540" w:rsidRDefault="00B73540" w:rsidP="00B73540">
      <w:pPr>
        <w:ind w:left="1440" w:hanging="1440"/>
      </w:pPr>
      <w:r>
        <w:t>Guidelines:</w:t>
      </w:r>
    </w:p>
    <w:p w14:paraId="42E2B34B" w14:textId="68E317BC" w:rsidR="004376ED" w:rsidRDefault="004376ED" w:rsidP="00B73540">
      <w:pPr>
        <w:numPr>
          <w:ilvl w:val="0"/>
          <w:numId w:val="1"/>
        </w:numPr>
      </w:pPr>
      <w:r>
        <w:t xml:space="preserve">Patients/guarantors who are found to have no insurance coverage at the time of service will be referred to the financial counselor or patient account representative to determine eligibility for Presumptive Eligibility under the Medicaid program. </w:t>
      </w:r>
      <w:r w:rsidR="00CB7C95">
        <w:t xml:space="preserve">If they do not qualify for this program uncompensated care will be offered in accordance with the uncompensated care policy. </w:t>
      </w:r>
    </w:p>
    <w:p w14:paraId="72EA7FFC" w14:textId="77777777" w:rsidR="004376ED" w:rsidRDefault="004376ED" w:rsidP="004376ED">
      <w:pPr>
        <w:ind w:left="720"/>
      </w:pPr>
    </w:p>
    <w:p w14:paraId="27457F13" w14:textId="1BD552CB" w:rsidR="00CB7C95" w:rsidRDefault="00CB7C95" w:rsidP="00CB7C95">
      <w:pPr>
        <w:numPr>
          <w:ilvl w:val="0"/>
          <w:numId w:val="1"/>
        </w:numPr>
      </w:pPr>
      <w:r>
        <w:t>All co-payments are due at time of service</w:t>
      </w:r>
      <w:r w:rsidR="00490B85">
        <w:t xml:space="preserve">, </w:t>
      </w:r>
      <w:proofErr w:type="gramStart"/>
      <w:r w:rsidR="00490B85" w:rsidRPr="000F6599">
        <w:rPr>
          <w:b/>
          <w:bCs/>
        </w:rPr>
        <w:t>with the exception of</w:t>
      </w:r>
      <w:proofErr w:type="gramEnd"/>
      <w:r w:rsidR="00490B85" w:rsidRPr="000F6599">
        <w:rPr>
          <w:b/>
          <w:bCs/>
        </w:rPr>
        <w:t xml:space="preserve"> emergency room services</w:t>
      </w:r>
      <w:r w:rsidRPr="000F6599">
        <w:rPr>
          <w:b/>
          <w:bCs/>
        </w:rPr>
        <w:t>.</w:t>
      </w:r>
      <w:r>
        <w:t xml:space="preserve"> </w:t>
      </w:r>
      <w:r w:rsidR="00B73540">
        <w:t xml:space="preserve">Any Patient deductibles, co-insurance or spend-downs not covered by insurance will be due </w:t>
      </w:r>
      <w:r>
        <w:t>within 30 days</w:t>
      </w:r>
      <w:r w:rsidR="00B73540">
        <w:t xml:space="preserve">. If this is not possible the following financing options will be available. </w:t>
      </w:r>
    </w:p>
    <w:p w14:paraId="79089C3D" w14:textId="5A5EDAA0" w:rsidR="00CB7C95" w:rsidRDefault="00CB7C95" w:rsidP="00CB7C95"/>
    <w:p w14:paraId="03F61FBE" w14:textId="42D74686" w:rsidR="00CB7C95" w:rsidRDefault="00CB7C95" w:rsidP="002873EA">
      <w:pPr>
        <w:pStyle w:val="ListParagraph"/>
        <w:numPr>
          <w:ilvl w:val="0"/>
          <w:numId w:val="3"/>
        </w:numPr>
      </w:pPr>
      <w:r>
        <w:t xml:space="preserve">Interest free </w:t>
      </w:r>
      <w:r w:rsidR="00A70263">
        <w:t>in-house</w:t>
      </w:r>
      <w:r>
        <w:t xml:space="preserve"> payment plans are available up to a </w:t>
      </w:r>
      <w:r w:rsidR="00A70263">
        <w:t>12-month</w:t>
      </w:r>
      <w:r>
        <w:t xml:space="preserve"> term. </w:t>
      </w:r>
      <w:r w:rsidR="00A70263">
        <w:t xml:space="preserve">EFT </w:t>
      </w:r>
      <w:r w:rsidR="008722D4">
        <w:t xml:space="preserve">     </w:t>
      </w:r>
      <w:r w:rsidR="00A70263">
        <w:t>(electronic</w:t>
      </w:r>
      <w:r w:rsidR="008722D4">
        <w:t xml:space="preserve"> fu</w:t>
      </w:r>
      <w:r w:rsidR="00A70263">
        <w:t xml:space="preserve">nds transfer) or recurring credit cards will be promoted as the preferred payment method. </w:t>
      </w:r>
      <w:r>
        <w:t xml:space="preserve">The below table </w:t>
      </w:r>
      <w:r w:rsidR="00A70263">
        <w:t>o</w:t>
      </w:r>
      <w:r>
        <w:t xml:space="preserve">utlines the expected </w:t>
      </w:r>
      <w:r w:rsidR="00A70263">
        <w:t xml:space="preserve">payment terms. </w:t>
      </w:r>
      <w:r>
        <w:t xml:space="preserve">  </w:t>
      </w:r>
    </w:p>
    <w:p w14:paraId="3FD362C5" w14:textId="77777777" w:rsidR="00CB7C95" w:rsidRDefault="00CB7C95" w:rsidP="00CB7C95">
      <w:pPr>
        <w:ind w:left="720"/>
      </w:pPr>
    </w:p>
    <w:tbl>
      <w:tblPr>
        <w:tblStyle w:val="TableGrid"/>
        <w:tblW w:w="0" w:type="auto"/>
        <w:tblInd w:w="805" w:type="dxa"/>
        <w:tblLook w:val="04A0" w:firstRow="1" w:lastRow="0" w:firstColumn="1" w:lastColumn="0" w:noHBand="0" w:noVBand="1"/>
      </w:tblPr>
      <w:tblGrid>
        <w:gridCol w:w="4272"/>
        <w:gridCol w:w="4273"/>
      </w:tblGrid>
      <w:tr w:rsidR="00A70263" w:rsidRPr="006B074A" w14:paraId="63B43F47" w14:textId="77777777" w:rsidTr="008D79D1">
        <w:tc>
          <w:tcPr>
            <w:tcW w:w="4272" w:type="dxa"/>
          </w:tcPr>
          <w:p w14:paraId="166EE66E" w14:textId="77777777" w:rsidR="00A70263" w:rsidRPr="006B074A" w:rsidRDefault="00A70263" w:rsidP="008D79D1">
            <w:pPr>
              <w:jc w:val="center"/>
              <w:rPr>
                <w:rFonts w:ascii="Arial" w:hAnsi="Arial" w:cs="Arial"/>
                <w:b/>
                <w:sz w:val="20"/>
                <w:szCs w:val="20"/>
              </w:rPr>
            </w:pPr>
            <w:r w:rsidRPr="006B074A">
              <w:rPr>
                <w:rFonts w:ascii="Arial" w:hAnsi="Arial" w:cs="Arial"/>
                <w:b/>
                <w:sz w:val="20"/>
                <w:szCs w:val="20"/>
              </w:rPr>
              <w:t>TOTAL BALANCE OF ACCOUNTS</w:t>
            </w:r>
          </w:p>
        </w:tc>
        <w:tc>
          <w:tcPr>
            <w:tcW w:w="4273" w:type="dxa"/>
          </w:tcPr>
          <w:p w14:paraId="378AD258" w14:textId="77777777" w:rsidR="00A70263" w:rsidRPr="006B074A" w:rsidRDefault="00A70263" w:rsidP="008D79D1">
            <w:pPr>
              <w:jc w:val="center"/>
              <w:rPr>
                <w:rFonts w:ascii="Arial" w:hAnsi="Arial" w:cs="Arial"/>
                <w:b/>
                <w:sz w:val="20"/>
                <w:szCs w:val="20"/>
              </w:rPr>
            </w:pPr>
            <w:r w:rsidRPr="006B074A">
              <w:rPr>
                <w:rFonts w:ascii="Arial" w:hAnsi="Arial" w:cs="Arial"/>
                <w:b/>
                <w:sz w:val="20"/>
                <w:szCs w:val="20"/>
              </w:rPr>
              <w:t>MAXIMUM # OF MONTHLY PAYMENTS</w:t>
            </w:r>
          </w:p>
        </w:tc>
      </w:tr>
      <w:tr w:rsidR="00A70263" w:rsidRPr="006B074A" w14:paraId="6A1BBF15" w14:textId="77777777" w:rsidTr="008D79D1">
        <w:tc>
          <w:tcPr>
            <w:tcW w:w="4272" w:type="dxa"/>
          </w:tcPr>
          <w:p w14:paraId="14EC614F" w14:textId="77777777" w:rsidR="00A70263" w:rsidRPr="006B074A" w:rsidRDefault="00A70263" w:rsidP="008D79D1">
            <w:pPr>
              <w:jc w:val="center"/>
              <w:rPr>
                <w:rFonts w:ascii="Arial" w:hAnsi="Arial" w:cs="Arial"/>
                <w:sz w:val="20"/>
                <w:szCs w:val="20"/>
              </w:rPr>
            </w:pPr>
            <w:r>
              <w:rPr>
                <w:rFonts w:ascii="Arial" w:hAnsi="Arial" w:cs="Arial"/>
                <w:sz w:val="20"/>
                <w:szCs w:val="20"/>
              </w:rPr>
              <w:t>$149.99 and below</w:t>
            </w:r>
          </w:p>
        </w:tc>
        <w:tc>
          <w:tcPr>
            <w:tcW w:w="4273" w:type="dxa"/>
          </w:tcPr>
          <w:p w14:paraId="4B5DD75C" w14:textId="77777777" w:rsidR="00A70263" w:rsidRPr="006B074A" w:rsidRDefault="00A70263" w:rsidP="008D79D1">
            <w:pPr>
              <w:jc w:val="center"/>
              <w:rPr>
                <w:rFonts w:ascii="Arial" w:hAnsi="Arial" w:cs="Arial"/>
                <w:sz w:val="20"/>
                <w:szCs w:val="20"/>
              </w:rPr>
            </w:pPr>
            <w:r>
              <w:rPr>
                <w:rFonts w:ascii="Arial" w:hAnsi="Arial" w:cs="Arial"/>
                <w:sz w:val="20"/>
                <w:szCs w:val="20"/>
              </w:rPr>
              <w:t>2</w:t>
            </w:r>
          </w:p>
        </w:tc>
      </w:tr>
      <w:tr w:rsidR="00A70263" w:rsidRPr="006B074A" w14:paraId="2EDCBD24" w14:textId="77777777" w:rsidTr="008D79D1">
        <w:tc>
          <w:tcPr>
            <w:tcW w:w="4272" w:type="dxa"/>
          </w:tcPr>
          <w:p w14:paraId="457E8097"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$150.00 – $299.99</w:t>
            </w:r>
          </w:p>
        </w:tc>
        <w:tc>
          <w:tcPr>
            <w:tcW w:w="4273" w:type="dxa"/>
          </w:tcPr>
          <w:p w14:paraId="2117F347" w14:textId="77777777" w:rsidR="00A70263" w:rsidRPr="006B074A" w:rsidRDefault="00A70263" w:rsidP="008D79D1">
            <w:pPr>
              <w:jc w:val="center"/>
              <w:rPr>
                <w:rFonts w:ascii="Arial" w:hAnsi="Arial" w:cs="Arial"/>
                <w:sz w:val="20"/>
                <w:szCs w:val="20"/>
              </w:rPr>
            </w:pPr>
            <w:r>
              <w:rPr>
                <w:rFonts w:ascii="Arial" w:hAnsi="Arial" w:cs="Arial"/>
                <w:sz w:val="20"/>
                <w:szCs w:val="20"/>
              </w:rPr>
              <w:t>3</w:t>
            </w:r>
          </w:p>
        </w:tc>
      </w:tr>
      <w:tr w:rsidR="00A70263" w:rsidRPr="006B074A" w14:paraId="19D24E7D" w14:textId="77777777" w:rsidTr="008D79D1">
        <w:tc>
          <w:tcPr>
            <w:tcW w:w="4272" w:type="dxa"/>
          </w:tcPr>
          <w:p w14:paraId="6550D974"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$300.00 – $499.99</w:t>
            </w:r>
          </w:p>
        </w:tc>
        <w:tc>
          <w:tcPr>
            <w:tcW w:w="4273" w:type="dxa"/>
          </w:tcPr>
          <w:p w14:paraId="69B32D00"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6</w:t>
            </w:r>
          </w:p>
        </w:tc>
      </w:tr>
      <w:tr w:rsidR="00A70263" w:rsidRPr="006B074A" w14:paraId="4B34CC9F" w14:textId="77777777" w:rsidTr="008D79D1">
        <w:tc>
          <w:tcPr>
            <w:tcW w:w="4272" w:type="dxa"/>
          </w:tcPr>
          <w:p w14:paraId="3419E40F"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$500.00 – $999.99</w:t>
            </w:r>
          </w:p>
        </w:tc>
        <w:tc>
          <w:tcPr>
            <w:tcW w:w="4273" w:type="dxa"/>
          </w:tcPr>
          <w:p w14:paraId="604ED456"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9</w:t>
            </w:r>
          </w:p>
        </w:tc>
      </w:tr>
      <w:tr w:rsidR="00A70263" w:rsidRPr="006B074A" w14:paraId="2144A83D" w14:textId="77777777" w:rsidTr="008D79D1">
        <w:tc>
          <w:tcPr>
            <w:tcW w:w="4272" w:type="dxa"/>
          </w:tcPr>
          <w:p w14:paraId="439AC062"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 xml:space="preserve">$1,000.00 </w:t>
            </w:r>
            <w:r>
              <w:rPr>
                <w:rFonts w:ascii="Arial" w:hAnsi="Arial" w:cs="Arial"/>
                <w:sz w:val="20"/>
                <w:szCs w:val="20"/>
              </w:rPr>
              <w:t>and above</w:t>
            </w:r>
          </w:p>
        </w:tc>
        <w:tc>
          <w:tcPr>
            <w:tcW w:w="4273" w:type="dxa"/>
          </w:tcPr>
          <w:p w14:paraId="22D35A87" w14:textId="77777777" w:rsidR="00A70263" w:rsidRPr="006B074A" w:rsidRDefault="00A70263" w:rsidP="008D79D1">
            <w:pPr>
              <w:jc w:val="center"/>
              <w:rPr>
                <w:rFonts w:ascii="Arial" w:hAnsi="Arial" w:cs="Arial"/>
                <w:sz w:val="20"/>
                <w:szCs w:val="20"/>
              </w:rPr>
            </w:pPr>
            <w:r w:rsidRPr="006B074A">
              <w:rPr>
                <w:rFonts w:ascii="Arial" w:hAnsi="Arial" w:cs="Arial"/>
                <w:sz w:val="20"/>
                <w:szCs w:val="20"/>
              </w:rPr>
              <w:t>1</w:t>
            </w:r>
            <w:r>
              <w:rPr>
                <w:rFonts w:ascii="Arial" w:hAnsi="Arial" w:cs="Arial"/>
                <w:sz w:val="20"/>
                <w:szCs w:val="20"/>
              </w:rPr>
              <w:t>2</w:t>
            </w:r>
          </w:p>
        </w:tc>
      </w:tr>
      <w:tr w:rsidR="00A70263" w:rsidRPr="006B074A" w14:paraId="773F8B14" w14:textId="77777777" w:rsidTr="008D79D1">
        <w:tc>
          <w:tcPr>
            <w:tcW w:w="4272" w:type="dxa"/>
          </w:tcPr>
          <w:p w14:paraId="61F6F2AA" w14:textId="77777777" w:rsidR="00A70263" w:rsidRPr="006B074A" w:rsidRDefault="00A70263" w:rsidP="008D79D1">
            <w:pPr>
              <w:jc w:val="center"/>
              <w:rPr>
                <w:rFonts w:ascii="Arial" w:hAnsi="Arial" w:cs="Arial"/>
                <w:sz w:val="20"/>
                <w:szCs w:val="20"/>
              </w:rPr>
            </w:pPr>
          </w:p>
        </w:tc>
        <w:tc>
          <w:tcPr>
            <w:tcW w:w="4273" w:type="dxa"/>
          </w:tcPr>
          <w:p w14:paraId="59C86109" w14:textId="77777777" w:rsidR="00A70263" w:rsidRPr="006B074A" w:rsidRDefault="00A70263" w:rsidP="008D79D1">
            <w:pPr>
              <w:jc w:val="center"/>
              <w:rPr>
                <w:rFonts w:ascii="Arial" w:hAnsi="Arial" w:cs="Arial"/>
                <w:sz w:val="20"/>
                <w:szCs w:val="20"/>
              </w:rPr>
            </w:pPr>
          </w:p>
        </w:tc>
      </w:tr>
      <w:tr w:rsidR="00A70263" w:rsidRPr="006B074A" w14:paraId="146AD4E3" w14:textId="77777777" w:rsidTr="008D79D1">
        <w:tc>
          <w:tcPr>
            <w:tcW w:w="4272" w:type="dxa"/>
          </w:tcPr>
          <w:p w14:paraId="5BC78549" w14:textId="77777777" w:rsidR="00A70263" w:rsidRPr="006B074A" w:rsidRDefault="00A70263" w:rsidP="008D79D1">
            <w:pPr>
              <w:jc w:val="center"/>
              <w:rPr>
                <w:rFonts w:ascii="Arial" w:hAnsi="Arial" w:cs="Arial"/>
                <w:sz w:val="20"/>
                <w:szCs w:val="20"/>
              </w:rPr>
            </w:pPr>
            <w:r>
              <w:rPr>
                <w:rFonts w:ascii="Arial" w:hAnsi="Arial" w:cs="Arial"/>
                <w:sz w:val="20"/>
                <w:szCs w:val="20"/>
              </w:rPr>
              <w:t>Bank Loan is available</w:t>
            </w:r>
          </w:p>
        </w:tc>
        <w:tc>
          <w:tcPr>
            <w:tcW w:w="4273" w:type="dxa"/>
          </w:tcPr>
          <w:p w14:paraId="105127A6" w14:textId="77777777" w:rsidR="00A70263" w:rsidRPr="006B074A" w:rsidRDefault="00A70263" w:rsidP="008D79D1">
            <w:pPr>
              <w:jc w:val="center"/>
              <w:rPr>
                <w:rFonts w:ascii="Arial" w:hAnsi="Arial" w:cs="Arial"/>
                <w:sz w:val="20"/>
                <w:szCs w:val="20"/>
              </w:rPr>
            </w:pPr>
            <w:r>
              <w:rPr>
                <w:rFonts w:ascii="Arial" w:hAnsi="Arial" w:cs="Arial"/>
                <w:sz w:val="20"/>
                <w:szCs w:val="20"/>
              </w:rPr>
              <w:t>Up to 60 months</w:t>
            </w:r>
          </w:p>
        </w:tc>
      </w:tr>
    </w:tbl>
    <w:p w14:paraId="484A49FF" w14:textId="450F9B34" w:rsidR="00B73540" w:rsidRDefault="008722D4" w:rsidP="002873EA">
      <w:pPr>
        <w:pStyle w:val="ListParagraph"/>
        <w:numPr>
          <w:ilvl w:val="0"/>
          <w:numId w:val="3"/>
        </w:numPr>
      </w:pPr>
      <w:r>
        <w:lastRenderedPageBreak/>
        <w:t xml:space="preserve">If the patient/guarantor is not able to meet the above payment terms PHC </w:t>
      </w:r>
      <w:r w:rsidR="00FA6161">
        <w:t>may</w:t>
      </w:r>
      <w:r w:rsidR="002873EA">
        <w:t xml:space="preserve"> </w:t>
      </w:r>
      <w:r w:rsidR="00FA6161">
        <w:t>o</w:t>
      </w:r>
      <w:r>
        <w:t>ffer a</w:t>
      </w:r>
      <w:r w:rsidR="002873EA">
        <w:t xml:space="preserve"> </w:t>
      </w:r>
      <w:r>
        <w:t>bank loan</w:t>
      </w:r>
      <w:r w:rsidR="002873EA">
        <w:t xml:space="preserve"> </w:t>
      </w:r>
      <w:r w:rsidR="00AB2D1A">
        <w:t xml:space="preserve">with a reasonable interest rate </w:t>
      </w:r>
      <w:r>
        <w:t xml:space="preserve">in conjunction with Kanza Bank. </w:t>
      </w:r>
      <w:r w:rsidR="003C5FFD">
        <w:t>T</w:t>
      </w:r>
      <w:r w:rsidR="00AB2D1A">
        <w:t xml:space="preserve">he maximum loan term available is 60 months. </w:t>
      </w:r>
    </w:p>
    <w:p w14:paraId="75CF7231" w14:textId="77777777" w:rsidR="00AB2D1A" w:rsidRDefault="00AB2D1A" w:rsidP="000D5261"/>
    <w:p w14:paraId="55265826" w14:textId="62CBAACE" w:rsidR="00AB2D1A" w:rsidRDefault="00AB2D1A" w:rsidP="00066154">
      <w:pPr>
        <w:pStyle w:val="ListParagraph"/>
        <w:numPr>
          <w:ilvl w:val="0"/>
          <w:numId w:val="1"/>
        </w:numPr>
      </w:pPr>
      <w:r>
        <w:t>If a patient</w:t>
      </w:r>
      <w:r w:rsidR="005D2D7C">
        <w:t>/guarantor</w:t>
      </w:r>
      <w:r>
        <w:t xml:space="preserve"> with an existing payment plan subsequently receives services at </w:t>
      </w:r>
      <w:r w:rsidR="002873EA">
        <w:t xml:space="preserve">            </w:t>
      </w:r>
      <w:r>
        <w:t>PHC and</w:t>
      </w:r>
      <w:r w:rsidR="005D2D7C">
        <w:t xml:space="preserve"> </w:t>
      </w:r>
      <w:r>
        <w:t xml:space="preserve">incurs an additional self-pay balance, the patient’s current payment plan </w:t>
      </w:r>
      <w:r w:rsidR="005D2D7C">
        <w:tab/>
      </w:r>
      <w:r>
        <w:t>may be revised</w:t>
      </w:r>
      <w:r w:rsidR="005D2D7C">
        <w:t xml:space="preserve"> </w:t>
      </w:r>
      <w:r>
        <w:t xml:space="preserve">to account for the additional charges.  </w:t>
      </w:r>
    </w:p>
    <w:p w14:paraId="65059852" w14:textId="77777777" w:rsidR="00B73540" w:rsidRDefault="00B73540" w:rsidP="00B73540"/>
    <w:p w14:paraId="5A02ACD3" w14:textId="0473AC4C" w:rsidR="005D2D7C" w:rsidRDefault="00AB2D1A" w:rsidP="00066154">
      <w:pPr>
        <w:pStyle w:val="ListParagraph"/>
        <w:numPr>
          <w:ilvl w:val="0"/>
          <w:numId w:val="1"/>
        </w:numPr>
      </w:pPr>
      <w:r>
        <w:t xml:space="preserve">If payment arrangements are not made </w:t>
      </w:r>
      <w:r w:rsidR="005D2D7C">
        <w:t>via one of the options above, after at least 120 days</w:t>
      </w:r>
      <w:r w:rsidR="003C5FFD">
        <w:t xml:space="preserve"> the account will be turned to an outside collection agency. </w:t>
      </w:r>
      <w:r w:rsidR="002873EA">
        <w:t xml:space="preserve">                                                                                                                                                                                                         </w:t>
      </w:r>
      <w:r w:rsidR="00AF4F97">
        <w:t xml:space="preserve"> </w:t>
      </w:r>
      <w:r w:rsidR="002873EA">
        <w:t xml:space="preserve">                   </w:t>
      </w:r>
      <w:r w:rsidR="00AF4F97">
        <w:t xml:space="preserve">                               </w:t>
      </w:r>
    </w:p>
    <w:p w14:paraId="0D0BB383" w14:textId="77777777" w:rsidR="00B73540" w:rsidRDefault="00B73540" w:rsidP="00B73540"/>
    <w:p w14:paraId="05A72BE6" w14:textId="3A647BE0" w:rsidR="006D597F" w:rsidRDefault="005D2D7C" w:rsidP="00066154">
      <w:pPr>
        <w:pStyle w:val="ListParagraph"/>
        <w:numPr>
          <w:ilvl w:val="0"/>
          <w:numId w:val="1"/>
        </w:numPr>
      </w:pPr>
      <w:r>
        <w:t xml:space="preserve">Approved payment arrangements are expected to be paid according to agreed terms to </w:t>
      </w:r>
      <w:r w:rsidR="00AF4F97">
        <w:t xml:space="preserve">    </w:t>
      </w:r>
      <w:r>
        <w:t xml:space="preserve">keep the account active and in good standing. </w:t>
      </w:r>
      <w:r w:rsidR="007B7499">
        <w:t xml:space="preserve">If payments are not maintained within the above guidelines the account will be turned to an outside collection agency. </w:t>
      </w:r>
    </w:p>
    <w:p w14:paraId="65879E08" w14:textId="1EC68ACD" w:rsidR="006D597F" w:rsidRDefault="006D597F" w:rsidP="006D597F"/>
    <w:p w14:paraId="51285E8B" w14:textId="7BDB40B9" w:rsidR="00090707" w:rsidRDefault="00090707" w:rsidP="00090707">
      <w:pPr>
        <w:rPr>
          <w:b/>
          <w:bCs/>
        </w:rPr>
      </w:pPr>
      <w:r w:rsidRPr="00090707">
        <w:rPr>
          <w:b/>
          <w:bCs/>
        </w:rPr>
        <w:t>II. Collection Efforts</w:t>
      </w:r>
    </w:p>
    <w:p w14:paraId="254EF301" w14:textId="31154D28" w:rsidR="00C55B75" w:rsidRDefault="00C55B75" w:rsidP="00090707">
      <w:r>
        <w:t>PHC’s collection process is as follows:</w:t>
      </w:r>
    </w:p>
    <w:p w14:paraId="710357D9" w14:textId="77777777" w:rsidR="00C55B75" w:rsidRPr="00090707" w:rsidRDefault="00C55B75" w:rsidP="00090707">
      <w:pPr>
        <w:rPr>
          <w:b/>
          <w:bCs/>
        </w:rPr>
      </w:pPr>
    </w:p>
    <w:p w14:paraId="61FE20E0" w14:textId="368BD90B" w:rsidR="00090707" w:rsidRDefault="00C55B75" w:rsidP="006D597F">
      <w:r w:rsidRPr="00C55B75">
        <w:t>Guidelines:</w:t>
      </w:r>
    </w:p>
    <w:p w14:paraId="3DBA040B" w14:textId="3D5C42F7" w:rsidR="0028092E" w:rsidRDefault="00C55B75" w:rsidP="007C76B8">
      <w:pPr>
        <w:pStyle w:val="ListParagraph"/>
        <w:numPr>
          <w:ilvl w:val="0"/>
          <w:numId w:val="8"/>
        </w:numPr>
      </w:pPr>
      <w:r>
        <w:t xml:space="preserve">If acceptable payment arrangements are </w:t>
      </w:r>
      <w:r w:rsidR="00153D9A">
        <w:t xml:space="preserve">not </w:t>
      </w:r>
      <w:r>
        <w:t>made</w:t>
      </w:r>
      <w:r w:rsidR="00153D9A">
        <w:t>/maintained</w:t>
      </w:r>
      <w:r>
        <w:t xml:space="preserve"> or the account is not paid in full within 30 </w:t>
      </w:r>
      <w:r w:rsidR="007C76B8">
        <w:t>days,</w:t>
      </w:r>
      <w:r>
        <w:t xml:space="preserve"> the collection process will begin. </w:t>
      </w:r>
    </w:p>
    <w:p w14:paraId="4078FF98" w14:textId="7CF24973" w:rsidR="00153D9A" w:rsidRDefault="00153D9A" w:rsidP="006D597F"/>
    <w:p w14:paraId="75F8BBCF" w14:textId="09AB16DF" w:rsidR="00153D9A" w:rsidRDefault="003168C1" w:rsidP="007C76B8">
      <w:pPr>
        <w:pStyle w:val="ListParagraph"/>
        <w:numPr>
          <w:ilvl w:val="0"/>
          <w:numId w:val="8"/>
        </w:numPr>
      </w:pPr>
      <w:r>
        <w:t xml:space="preserve">Approved payments arrangements are expected to be paid according to the agreed terms to keep the account active and in good standing. If a payment is missed or not for the agreed upon amount the account will be turned to an outside collection agency within 30 days.  </w:t>
      </w:r>
      <w:r w:rsidR="00AD3AA1">
        <w:t xml:space="preserve"> </w:t>
      </w:r>
      <w:r w:rsidR="003F233B">
        <w:t xml:space="preserve"> </w:t>
      </w:r>
    </w:p>
    <w:p w14:paraId="5E12AD00" w14:textId="77777777" w:rsidR="0028092E" w:rsidRDefault="0028092E" w:rsidP="006D597F"/>
    <w:p w14:paraId="589A6755" w14:textId="2183F01F" w:rsidR="00C55B75" w:rsidRDefault="00153D9A" w:rsidP="007C76B8">
      <w:pPr>
        <w:pStyle w:val="ListParagraph"/>
        <w:numPr>
          <w:ilvl w:val="0"/>
          <w:numId w:val="8"/>
        </w:numPr>
      </w:pPr>
      <w:r>
        <w:t xml:space="preserve">If </w:t>
      </w:r>
      <w:r w:rsidR="004D7751">
        <w:t xml:space="preserve">no </w:t>
      </w:r>
      <w:r w:rsidR="003C5FFD">
        <w:t xml:space="preserve">formal </w:t>
      </w:r>
      <w:r w:rsidR="004D7751">
        <w:t>p</w:t>
      </w:r>
      <w:r>
        <w:t>ayment arrangements are made</w:t>
      </w:r>
      <w:r w:rsidR="00827AF0">
        <w:t>,</w:t>
      </w:r>
      <w:r>
        <w:t xml:space="preserve"> t</w:t>
      </w:r>
      <w:r w:rsidR="00C55B75">
        <w:t>he patient</w:t>
      </w:r>
      <w:r w:rsidR="00AD3AA1">
        <w:t>/guarantor</w:t>
      </w:r>
      <w:r w:rsidR="00C55B75">
        <w:t xml:space="preserve"> will be referred to an outside collection agency after the receipt of 4 statements or 120 days whichever is later.</w:t>
      </w:r>
    </w:p>
    <w:p w14:paraId="6C0CE5CF" w14:textId="42D152E0" w:rsidR="00C55B75" w:rsidRDefault="00C55B75" w:rsidP="007C76B8">
      <w:pPr>
        <w:ind w:firstLine="360"/>
      </w:pPr>
    </w:p>
    <w:p w14:paraId="63036E8C" w14:textId="45F00A24" w:rsidR="0028092E" w:rsidRDefault="00C55B75" w:rsidP="007C76B8">
      <w:pPr>
        <w:pStyle w:val="ListParagraph"/>
        <w:numPr>
          <w:ilvl w:val="0"/>
          <w:numId w:val="8"/>
        </w:numPr>
      </w:pPr>
      <w:r>
        <w:t xml:space="preserve">The collection agency will </w:t>
      </w:r>
      <w:r w:rsidR="0028092E">
        <w:t xml:space="preserve">reach out to the patient/guarantor to pursue payment arrangements. </w:t>
      </w:r>
      <w:r>
        <w:t xml:space="preserve"> </w:t>
      </w:r>
    </w:p>
    <w:p w14:paraId="59152A0B" w14:textId="77777777" w:rsidR="0028092E" w:rsidRDefault="0028092E" w:rsidP="006D597F"/>
    <w:p w14:paraId="2E125ADE" w14:textId="3DBBBF16" w:rsidR="00C55B75" w:rsidRDefault="0028092E" w:rsidP="007C76B8">
      <w:pPr>
        <w:pStyle w:val="ListParagraph"/>
        <w:numPr>
          <w:ilvl w:val="0"/>
          <w:numId w:val="8"/>
        </w:numPr>
      </w:pPr>
      <w:r>
        <w:t xml:space="preserve">If the patient/guarantor is found to be indigent or living on limited income the account will be </w:t>
      </w:r>
      <w:proofErr w:type="gramStart"/>
      <w:r>
        <w:t>referred back</w:t>
      </w:r>
      <w:proofErr w:type="gramEnd"/>
      <w:r>
        <w:t xml:space="preserve"> to PHC for possible financial assistance through the uncompensated care policy. </w:t>
      </w:r>
    </w:p>
    <w:p w14:paraId="303F997F" w14:textId="12F059C2" w:rsidR="0028092E" w:rsidRDefault="0028092E" w:rsidP="006D597F"/>
    <w:p w14:paraId="29B018EE" w14:textId="1781E25D" w:rsidR="0028092E" w:rsidRDefault="0028092E" w:rsidP="007C76B8">
      <w:pPr>
        <w:pStyle w:val="ListParagraph"/>
        <w:numPr>
          <w:ilvl w:val="0"/>
          <w:numId w:val="8"/>
        </w:numPr>
      </w:pPr>
      <w:r>
        <w:t xml:space="preserve">Patient/guarantor refusing to work with the collection agency in making suitable payments may be subject to possible </w:t>
      </w:r>
      <w:r w:rsidR="003168C1">
        <w:t>legal action</w:t>
      </w:r>
      <w:r>
        <w:t xml:space="preserve">. </w:t>
      </w:r>
    </w:p>
    <w:p w14:paraId="60503AE8" w14:textId="00F0D2AB" w:rsidR="00FD0D40" w:rsidRDefault="00FD0D40" w:rsidP="006D597F"/>
    <w:p w14:paraId="31CE8B51" w14:textId="34CD0FE6" w:rsidR="00FD0D40" w:rsidRDefault="00162714" w:rsidP="007C76B8">
      <w:pPr>
        <w:pStyle w:val="ListParagraph"/>
        <w:numPr>
          <w:ilvl w:val="0"/>
          <w:numId w:val="8"/>
        </w:numPr>
      </w:pPr>
      <w:r>
        <w:lastRenderedPageBreak/>
        <w:t xml:space="preserve">The collection agency may list accounts deemed to be bad debts with established credit bureaus. If the account is paid in full this information will be shared with the credit </w:t>
      </w:r>
      <w:r w:rsidR="007C76B8">
        <w:t>b</w:t>
      </w:r>
      <w:r>
        <w:t xml:space="preserve">ureaus.  </w:t>
      </w:r>
    </w:p>
    <w:p w14:paraId="3C8A7077" w14:textId="77777777" w:rsidR="00C55B75" w:rsidRPr="00C55B75" w:rsidRDefault="00C55B75" w:rsidP="006D597F"/>
    <w:p w14:paraId="41C7918C" w14:textId="52CD9E60" w:rsidR="006D597F" w:rsidRDefault="00090707" w:rsidP="006D597F">
      <w:pPr>
        <w:rPr>
          <w:b/>
          <w:bCs/>
        </w:rPr>
      </w:pPr>
      <w:r>
        <w:rPr>
          <w:b/>
          <w:bCs/>
        </w:rPr>
        <w:t xml:space="preserve">III. </w:t>
      </w:r>
      <w:r w:rsidR="006D597F" w:rsidRPr="006D597F">
        <w:rPr>
          <w:b/>
          <w:bCs/>
        </w:rPr>
        <w:t>Bad Debt</w:t>
      </w:r>
    </w:p>
    <w:p w14:paraId="3541AE1B" w14:textId="203CE864" w:rsidR="00C55B75" w:rsidRDefault="00C55B75" w:rsidP="006D597F">
      <w:r>
        <w:t xml:space="preserve">The following guidelines will be followed when referring accounts to bad debt. </w:t>
      </w:r>
    </w:p>
    <w:p w14:paraId="15370C30" w14:textId="77777777" w:rsidR="00C55B75" w:rsidRPr="00C55B75" w:rsidRDefault="00C55B75" w:rsidP="006D597F"/>
    <w:p w14:paraId="57E40F74" w14:textId="3DAB5EF8" w:rsidR="00090707" w:rsidRPr="00090707" w:rsidRDefault="00090707" w:rsidP="006D597F">
      <w:r w:rsidRPr="00090707">
        <w:t>Guidelines:</w:t>
      </w:r>
    </w:p>
    <w:p w14:paraId="31276553" w14:textId="5CD57124" w:rsidR="00B73540" w:rsidRDefault="006D597F" w:rsidP="008E60FF">
      <w:pPr>
        <w:pStyle w:val="ListParagraph"/>
        <w:numPr>
          <w:ilvl w:val="0"/>
          <w:numId w:val="13"/>
        </w:numPr>
      </w:pPr>
      <w:r>
        <w:t xml:space="preserve">It is the policy of PHC to make every reasonable effort to collect all balances owed prior to referral to a collection agency.   </w:t>
      </w:r>
    </w:p>
    <w:p w14:paraId="39F2C9A9" w14:textId="322F36F5" w:rsidR="006D597F" w:rsidRDefault="006D597F" w:rsidP="00B73540"/>
    <w:p w14:paraId="585C1152" w14:textId="66AE8F60" w:rsidR="006D597F" w:rsidRDefault="006D597F" w:rsidP="008E60FF">
      <w:pPr>
        <w:pStyle w:val="ListParagraph"/>
        <w:numPr>
          <w:ilvl w:val="0"/>
          <w:numId w:val="13"/>
        </w:numPr>
      </w:pPr>
      <w:r>
        <w:t xml:space="preserve">A thorough review of each account will be completed </w:t>
      </w:r>
      <w:r w:rsidR="00924618">
        <w:t xml:space="preserve">by the Financial Counselor or Patients Account Representative </w:t>
      </w:r>
      <w:r>
        <w:t xml:space="preserve">to determine the collectability of the account. This includes review of insurance information, payments, and comments on the accounts. </w:t>
      </w:r>
    </w:p>
    <w:p w14:paraId="2F62F542" w14:textId="0267B54E" w:rsidR="006D597F" w:rsidRDefault="006D597F" w:rsidP="00B73540"/>
    <w:p w14:paraId="5FEBD126" w14:textId="1C2B42D6" w:rsidR="006700BA" w:rsidRDefault="009854E9" w:rsidP="008E60FF">
      <w:pPr>
        <w:pStyle w:val="ListParagraph"/>
        <w:numPr>
          <w:ilvl w:val="0"/>
          <w:numId w:val="13"/>
        </w:numPr>
      </w:pPr>
      <w:r>
        <w:t>Once a determination has been made to refer the account to bad debt, the following process will occur</w:t>
      </w:r>
      <w:r w:rsidR="006700BA">
        <w:t xml:space="preserve">. </w:t>
      </w:r>
    </w:p>
    <w:p w14:paraId="42AFC789" w14:textId="77777777" w:rsidR="000B2C06" w:rsidRDefault="000B2C06" w:rsidP="000B2C06">
      <w:pPr>
        <w:pStyle w:val="ListParagraph"/>
      </w:pPr>
    </w:p>
    <w:p w14:paraId="18017AA8" w14:textId="62ACC040" w:rsidR="006700BA" w:rsidRDefault="006700BA" w:rsidP="005D36FF">
      <w:pPr>
        <w:pStyle w:val="ListParagraph"/>
        <w:numPr>
          <w:ilvl w:val="0"/>
          <w:numId w:val="14"/>
        </w:numPr>
        <w:ind w:left="1440"/>
      </w:pPr>
      <w:r>
        <w:t xml:space="preserve">A listing of the bad debts will be prepared prior to the end of the month. </w:t>
      </w:r>
    </w:p>
    <w:p w14:paraId="4BEBD6AE" w14:textId="0B2C27D9" w:rsidR="006700BA" w:rsidRDefault="006700BA" w:rsidP="005D36FF">
      <w:pPr>
        <w:pStyle w:val="ListParagraph"/>
        <w:numPr>
          <w:ilvl w:val="0"/>
          <w:numId w:val="14"/>
        </w:numPr>
        <w:ind w:left="1440"/>
      </w:pPr>
      <w:r>
        <w:t xml:space="preserve">The accounts will be reviewed and approved by the Finance Committee. </w:t>
      </w:r>
    </w:p>
    <w:p w14:paraId="5FA31A05" w14:textId="1A9DEDDC" w:rsidR="006D597F" w:rsidRDefault="006700BA" w:rsidP="005D36FF">
      <w:pPr>
        <w:pStyle w:val="ListParagraph"/>
        <w:numPr>
          <w:ilvl w:val="0"/>
          <w:numId w:val="14"/>
        </w:numPr>
        <w:ind w:left="1440"/>
      </w:pPr>
      <w:r>
        <w:t xml:space="preserve">A computerized listing of the bad debt accounts will be </w:t>
      </w:r>
      <w:r w:rsidR="005D36FF">
        <w:t xml:space="preserve">sent </w:t>
      </w:r>
      <w:r>
        <w:t>to the outside collection agency.</w:t>
      </w:r>
      <w:r w:rsidR="006D597F">
        <w:t xml:space="preserve">  </w:t>
      </w:r>
    </w:p>
    <w:p w14:paraId="1B1D3307" w14:textId="3B0EECA9" w:rsidR="0033066A" w:rsidRDefault="0033066A" w:rsidP="008E60FF">
      <w:pPr>
        <w:ind w:firstLine="360"/>
      </w:pPr>
    </w:p>
    <w:p w14:paraId="2E8C5C1A" w14:textId="7ADBC8E2" w:rsidR="00B73540" w:rsidRDefault="0033066A" w:rsidP="008E60FF">
      <w:pPr>
        <w:pStyle w:val="ListParagraph"/>
        <w:numPr>
          <w:ilvl w:val="0"/>
          <w:numId w:val="13"/>
        </w:numPr>
      </w:pPr>
      <w:r>
        <w:t xml:space="preserve">Any payments received on accounts in bad debt will be posted to the account by the business office.  </w:t>
      </w:r>
    </w:p>
    <w:p w14:paraId="3997B15B" w14:textId="0B7BC9C0" w:rsidR="0033066A" w:rsidRDefault="0033066A" w:rsidP="0007044A"/>
    <w:p w14:paraId="26F78E7D" w14:textId="5CB68F85" w:rsidR="0033066A" w:rsidRPr="002E36CB" w:rsidRDefault="0033066A" w:rsidP="008E60FF">
      <w:pPr>
        <w:pStyle w:val="ListParagraph"/>
        <w:numPr>
          <w:ilvl w:val="0"/>
          <w:numId w:val="13"/>
        </w:numPr>
      </w:pPr>
      <w:r>
        <w:t xml:space="preserve">The Revenue Cycle Director will </w:t>
      </w:r>
      <w:r w:rsidR="00090707">
        <w:t xml:space="preserve">provide written </w:t>
      </w:r>
      <w:r>
        <w:t>approv</w:t>
      </w:r>
      <w:r w:rsidR="00090707">
        <w:t>al for</w:t>
      </w:r>
      <w:r>
        <w:t xml:space="preserve"> any legal action to be taken by the collection agency. </w:t>
      </w:r>
    </w:p>
    <w:p w14:paraId="4DCDF3C2" w14:textId="472CA0B8" w:rsidR="005600EC" w:rsidRDefault="005600EC"/>
    <w:p w14:paraId="161E8438" w14:textId="2E722E65" w:rsidR="0033066A" w:rsidRDefault="0033066A" w:rsidP="008E60FF">
      <w:pPr>
        <w:pStyle w:val="ListParagraph"/>
        <w:numPr>
          <w:ilvl w:val="0"/>
          <w:numId w:val="13"/>
        </w:numPr>
      </w:pPr>
      <w:r>
        <w:t>Bankruptcy discharge notice</w:t>
      </w:r>
      <w:r w:rsidR="005D36FF">
        <w:t>s</w:t>
      </w:r>
      <w:r>
        <w:t xml:space="preserve"> will be faxed</w:t>
      </w:r>
      <w:r w:rsidR="00904DD6">
        <w:t>/uploaded</w:t>
      </w:r>
      <w:r>
        <w:t xml:space="preserve"> to the assigned collection agency. </w:t>
      </w:r>
    </w:p>
    <w:sectPr w:rsidR="0033066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E8DD" w14:textId="77777777" w:rsidR="00F11811" w:rsidRDefault="00F11811" w:rsidP="00F11811">
      <w:r>
        <w:separator/>
      </w:r>
    </w:p>
  </w:endnote>
  <w:endnote w:type="continuationSeparator" w:id="0">
    <w:p w14:paraId="547B9BD6" w14:textId="77777777" w:rsidR="00F11811" w:rsidRDefault="00F11811" w:rsidP="00F1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D9006" w14:textId="77777777" w:rsidR="00F11811" w:rsidRDefault="00F11811" w:rsidP="00F11811">
      <w:r>
        <w:separator/>
      </w:r>
    </w:p>
  </w:footnote>
  <w:footnote w:type="continuationSeparator" w:id="0">
    <w:p w14:paraId="6C0F8DA6" w14:textId="77777777" w:rsidR="00F11811" w:rsidRDefault="00F11811" w:rsidP="00F1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C0E59" w14:textId="59FC93CB" w:rsidR="00F11811" w:rsidRDefault="00F11811">
    <w:pPr>
      <w:pStyle w:val="Header"/>
    </w:pPr>
    <w:r>
      <w:rPr>
        <w:noProof/>
      </w:rPr>
      <w:drawing>
        <wp:inline distT="0" distB="0" distL="0" distR="0" wp14:anchorId="71417671" wp14:editId="0D462165">
          <wp:extent cx="6307290" cy="880110"/>
          <wp:effectExtent l="0" t="0" r="0" b="0"/>
          <wp:docPr id="1685" name="Picture 1685" descr="A screenshot of a computer&#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685" name="Picture 1685" descr="A screenshot of a computer&#10;&#10;Description automatically generated with low confidence"/>
                  <pic:cNvPicPr/>
                </pic:nvPicPr>
                <pic:blipFill>
                  <a:blip r:embed="rId1"/>
                  <a:stretch>
                    <a:fillRect/>
                  </a:stretch>
                </pic:blipFill>
                <pic:spPr>
                  <a:xfrm>
                    <a:off x="0" y="0"/>
                    <a:ext cx="6318694" cy="881701"/>
                  </a:xfrm>
                  <a:prstGeom prst="rect">
                    <a:avLst/>
                  </a:prstGeom>
                </pic:spPr>
              </pic:pic>
            </a:graphicData>
          </a:graphic>
        </wp:inline>
      </w:drawing>
    </w:r>
  </w:p>
  <w:p w14:paraId="3129C05E" w14:textId="474044E2" w:rsidR="00F11811" w:rsidRDefault="00F11811" w:rsidP="00F11811">
    <w:pPr>
      <w:spacing w:line="259" w:lineRule="auto"/>
      <w:ind w:left="3045" w:right="-360"/>
      <w:rPr>
        <w:rFonts w:ascii="Calibri" w:eastAsia="Calibri" w:hAnsi="Calibri" w:cs="Calibri"/>
        <w:b/>
        <w:color w:val="E4701F"/>
        <w:sz w:val="21"/>
        <w:szCs w:val="22"/>
      </w:rPr>
    </w:pPr>
    <w:r w:rsidRPr="00F11811">
      <w:rPr>
        <w:rFonts w:ascii="Calibri" w:eastAsia="Calibri" w:hAnsi="Calibri" w:cs="Calibri"/>
        <w:color w:val="221F20"/>
        <w:sz w:val="21"/>
        <w:szCs w:val="22"/>
      </w:rPr>
      <w:t xml:space="preserve">485 N KS HWY 2, Anthony, KS 67003  |  620.914.1200  |  </w:t>
    </w:r>
    <w:r w:rsidRPr="00F11811">
      <w:rPr>
        <w:rFonts w:ascii="Calibri" w:eastAsia="Calibri" w:hAnsi="Calibri" w:cs="Calibri"/>
        <w:b/>
        <w:color w:val="E4701F"/>
        <w:sz w:val="21"/>
        <w:szCs w:val="22"/>
      </w:rPr>
      <w:t>pattersonhc.org</w:t>
    </w:r>
  </w:p>
  <w:p w14:paraId="079F772F" w14:textId="77777777" w:rsidR="00F11811" w:rsidRPr="00F11811" w:rsidRDefault="00F11811" w:rsidP="00F11811">
    <w:pPr>
      <w:spacing w:line="259" w:lineRule="auto"/>
      <w:ind w:left="3045" w:right="-360"/>
      <w:rPr>
        <w:rFonts w:ascii="Calibri" w:eastAsia="Calibri" w:hAnsi="Calibri" w:cs="Calibri"/>
        <w:color w:val="221F20"/>
        <w:sz w:val="21"/>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4AB"/>
    <w:multiLevelType w:val="hybridMultilevel"/>
    <w:tmpl w:val="0D6AD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C0ACC"/>
    <w:multiLevelType w:val="hybridMultilevel"/>
    <w:tmpl w:val="D1E49E3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E507F5"/>
    <w:multiLevelType w:val="hybridMultilevel"/>
    <w:tmpl w:val="CA162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F530D"/>
    <w:multiLevelType w:val="hybridMultilevel"/>
    <w:tmpl w:val="A156FAA6"/>
    <w:lvl w:ilvl="0" w:tplc="EFD433DE">
      <w:start w:val="1"/>
      <w:numFmt w:val="lowerLetter"/>
      <w:lvlText w:val="%1."/>
      <w:lvlJc w:val="left"/>
      <w:pPr>
        <w:ind w:left="1440" w:hanging="360"/>
      </w:pPr>
    </w:lvl>
    <w:lvl w:ilvl="1" w:tplc="04090019">
      <w:start w:val="1"/>
      <w:numFmt w:val="lowerLetter"/>
      <w:lvlText w:val="%2."/>
      <w:lvlJc w:val="left"/>
      <w:pPr>
        <w:ind w:left="2160" w:hanging="360"/>
      </w:pPr>
    </w:lvl>
    <w:lvl w:ilvl="2" w:tplc="44C83B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8D1CFE"/>
    <w:multiLevelType w:val="hybridMultilevel"/>
    <w:tmpl w:val="54A2465E"/>
    <w:lvl w:ilvl="0" w:tplc="0409000F">
      <w:start w:val="1"/>
      <w:numFmt w:val="decimal"/>
      <w:lvlText w:val="%1."/>
      <w:lvlJc w:val="left"/>
      <w:pPr>
        <w:tabs>
          <w:tab w:val="num" w:pos="720"/>
        </w:tabs>
        <w:ind w:left="720" w:hanging="360"/>
      </w:pPr>
      <w:rPr>
        <w:rFonts w:hint="default"/>
      </w:rPr>
    </w:lvl>
    <w:lvl w:ilvl="1" w:tplc="42982CC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E066CF"/>
    <w:multiLevelType w:val="hybridMultilevel"/>
    <w:tmpl w:val="D77C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92091"/>
    <w:multiLevelType w:val="hybridMultilevel"/>
    <w:tmpl w:val="3086C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84007"/>
    <w:multiLevelType w:val="hybridMultilevel"/>
    <w:tmpl w:val="89A06198"/>
    <w:lvl w:ilvl="0" w:tplc="51E4F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1126E8"/>
    <w:multiLevelType w:val="hybridMultilevel"/>
    <w:tmpl w:val="A94C5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531A9"/>
    <w:multiLevelType w:val="hybridMultilevel"/>
    <w:tmpl w:val="9F82C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4D20DF"/>
    <w:multiLevelType w:val="hybridMultilevel"/>
    <w:tmpl w:val="A13E6028"/>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5BE77FF"/>
    <w:multiLevelType w:val="hybridMultilevel"/>
    <w:tmpl w:val="6DC6B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C12B9"/>
    <w:multiLevelType w:val="hybridMultilevel"/>
    <w:tmpl w:val="2E5CC71A"/>
    <w:lvl w:ilvl="0" w:tplc="6902F4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983220"/>
    <w:multiLevelType w:val="hybridMultilevel"/>
    <w:tmpl w:val="68062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9"/>
  </w:num>
  <w:num w:numId="5">
    <w:abstractNumId w:val="1"/>
  </w:num>
  <w:num w:numId="6">
    <w:abstractNumId w:val="6"/>
  </w:num>
  <w:num w:numId="7">
    <w:abstractNumId w:val="5"/>
  </w:num>
  <w:num w:numId="8">
    <w:abstractNumId w:val="11"/>
  </w:num>
  <w:num w:numId="9">
    <w:abstractNumId w:val="2"/>
  </w:num>
  <w:num w:numId="10">
    <w:abstractNumId w:val="8"/>
  </w:num>
  <w:num w:numId="11">
    <w:abstractNumId w:val="7"/>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40"/>
    <w:rsid w:val="00066154"/>
    <w:rsid w:val="0007044A"/>
    <w:rsid w:val="00090707"/>
    <w:rsid w:val="000B2C06"/>
    <w:rsid w:val="000D5261"/>
    <w:rsid w:val="000F6599"/>
    <w:rsid w:val="00153D9A"/>
    <w:rsid w:val="00162714"/>
    <w:rsid w:val="0024038B"/>
    <w:rsid w:val="0028092E"/>
    <w:rsid w:val="002873EA"/>
    <w:rsid w:val="003168C1"/>
    <w:rsid w:val="0033066A"/>
    <w:rsid w:val="003976DE"/>
    <w:rsid w:val="003C5FFD"/>
    <w:rsid w:val="003F233B"/>
    <w:rsid w:val="003F2CDA"/>
    <w:rsid w:val="004376ED"/>
    <w:rsid w:val="00490B85"/>
    <w:rsid w:val="004B7EE1"/>
    <w:rsid w:val="004D7751"/>
    <w:rsid w:val="005600EC"/>
    <w:rsid w:val="005D2D7C"/>
    <w:rsid w:val="005D36FF"/>
    <w:rsid w:val="006700BA"/>
    <w:rsid w:val="006D597F"/>
    <w:rsid w:val="006E418E"/>
    <w:rsid w:val="007A2B58"/>
    <w:rsid w:val="007B7499"/>
    <w:rsid w:val="007C76B8"/>
    <w:rsid w:val="00827AF0"/>
    <w:rsid w:val="008722D4"/>
    <w:rsid w:val="008E60FF"/>
    <w:rsid w:val="00904DD6"/>
    <w:rsid w:val="00924618"/>
    <w:rsid w:val="009854E9"/>
    <w:rsid w:val="009D4A47"/>
    <w:rsid w:val="00A70263"/>
    <w:rsid w:val="00AB2D1A"/>
    <w:rsid w:val="00AD3AA1"/>
    <w:rsid w:val="00AE441A"/>
    <w:rsid w:val="00AF4F97"/>
    <w:rsid w:val="00B73540"/>
    <w:rsid w:val="00BE5D7A"/>
    <w:rsid w:val="00C55B75"/>
    <w:rsid w:val="00CB7C95"/>
    <w:rsid w:val="00D37C95"/>
    <w:rsid w:val="00DC1D1D"/>
    <w:rsid w:val="00E317F4"/>
    <w:rsid w:val="00F11811"/>
    <w:rsid w:val="00F512D4"/>
    <w:rsid w:val="00FA6161"/>
    <w:rsid w:val="00FD0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7D22"/>
  <w15:chartTrackingRefBased/>
  <w15:docId w15:val="{D84C8AE5-6FC0-4FC2-A358-62456FE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B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707"/>
    <w:pPr>
      <w:ind w:left="720"/>
      <w:contextualSpacing/>
    </w:pPr>
  </w:style>
  <w:style w:type="paragraph" w:styleId="Header">
    <w:name w:val="header"/>
    <w:basedOn w:val="Normal"/>
    <w:link w:val="HeaderChar"/>
    <w:uiPriority w:val="99"/>
    <w:unhideWhenUsed/>
    <w:rsid w:val="00F11811"/>
    <w:pPr>
      <w:tabs>
        <w:tab w:val="center" w:pos="4680"/>
        <w:tab w:val="right" w:pos="9360"/>
      </w:tabs>
    </w:pPr>
  </w:style>
  <w:style w:type="character" w:customStyle="1" w:styleId="HeaderChar">
    <w:name w:val="Header Char"/>
    <w:basedOn w:val="DefaultParagraphFont"/>
    <w:link w:val="Header"/>
    <w:uiPriority w:val="99"/>
    <w:rsid w:val="00F118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1811"/>
    <w:pPr>
      <w:tabs>
        <w:tab w:val="center" w:pos="4680"/>
        <w:tab w:val="right" w:pos="9360"/>
      </w:tabs>
    </w:pPr>
  </w:style>
  <w:style w:type="character" w:customStyle="1" w:styleId="FooterChar">
    <w:name w:val="Footer Char"/>
    <w:basedOn w:val="DefaultParagraphFont"/>
    <w:link w:val="Footer"/>
    <w:uiPriority w:val="99"/>
    <w:rsid w:val="00F1181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Allen</dc:creator>
  <cp:keywords/>
  <dc:description/>
  <cp:lastModifiedBy>Lori Allen</cp:lastModifiedBy>
  <cp:revision>15</cp:revision>
  <dcterms:created xsi:type="dcterms:W3CDTF">2022-02-02T23:17:00Z</dcterms:created>
  <dcterms:modified xsi:type="dcterms:W3CDTF">2022-02-20T16:46:00Z</dcterms:modified>
</cp:coreProperties>
</file>